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98" w:rsidRPr="00B757EA" w:rsidRDefault="00443998" w:rsidP="00006522">
      <w:pPr>
        <w:jc w:val="center"/>
        <w:rPr>
          <w:b/>
          <w:bCs/>
          <w:sz w:val="24"/>
          <w:szCs w:val="24"/>
        </w:rPr>
      </w:pPr>
      <w:bookmarkStart w:id="0" w:name="_GoBack"/>
      <w:r w:rsidRPr="00B757EA">
        <w:rPr>
          <w:b/>
          <w:bCs/>
          <w:sz w:val="24"/>
          <w:szCs w:val="24"/>
        </w:rPr>
        <w:t>OGŁOSZENIE O KONKURSIE:</w:t>
      </w:r>
    </w:p>
    <w:p w:rsidR="00443998" w:rsidRPr="00B757EA" w:rsidRDefault="00443998" w:rsidP="00006522">
      <w:pPr>
        <w:jc w:val="both"/>
      </w:pPr>
      <w:r w:rsidRPr="00B757EA">
        <w:t>Działając na podstawie art. 33 ustawy z dnia 11 lipca 2014 r. o zasadach realizacji programów                     w zakresie polityki spójności finansowanych w perspektywie finansowej 2014–2020 (Dz.U. 2014 poz. 1146) Akademia Pomorska w Słupsku (jako Lider) ogłasza otwarty konkurs na</w:t>
      </w:r>
      <w:r w:rsidR="00423AD9" w:rsidRPr="00B757EA">
        <w:t xml:space="preserve"> wybór organizacji pozarządowej na </w:t>
      </w:r>
      <w:r w:rsidRPr="00B757EA">
        <w:t xml:space="preserve">partnera </w:t>
      </w:r>
      <w:r w:rsidR="00423AD9" w:rsidRPr="00B757EA">
        <w:t>w celu wspólnej</w:t>
      </w:r>
      <w:r w:rsidRPr="00B757EA">
        <w:t xml:space="preserve"> realizacj</w:t>
      </w:r>
      <w:r w:rsidR="00426529" w:rsidRPr="00B757EA">
        <w:t>i</w:t>
      </w:r>
      <w:r w:rsidRPr="00B757EA">
        <w:t xml:space="preserve"> projektu </w:t>
      </w:r>
      <w:r w:rsidR="00A4584A" w:rsidRPr="00B757EA">
        <w:t>„</w:t>
      </w:r>
      <w:r w:rsidR="005B6751" w:rsidRPr="00B757EA">
        <w:t>ŚCIEŻKĄ KOPERNIKA z Akademią Pomorską</w:t>
      </w:r>
      <w:r w:rsidR="001B053F" w:rsidRPr="00B757EA">
        <w:t>!</w:t>
      </w:r>
      <w:r w:rsidR="005B6751" w:rsidRPr="00B757EA">
        <w:t xml:space="preserve">” realizowanego </w:t>
      </w:r>
      <w:r w:rsidRPr="00B757EA">
        <w:t xml:space="preserve">w ramach Programu Operacyjnego Wiedza Edukacja Rozwój  na lata 2014 – 2020, Oś priorytetowa III </w:t>
      </w:r>
      <w:r w:rsidRPr="00B757EA">
        <w:rPr>
          <w:i/>
          <w:iCs/>
        </w:rPr>
        <w:t>Szkolnictwo wyższe dla gospodarki i rozwoju</w:t>
      </w:r>
      <w:r w:rsidRPr="00B757EA">
        <w:t>, Działanie 3.1 Kompetencje w szkolnictwie wyższym Konkurs nr 4/SK2.0/POWER/3.1/2016 Ścieżki Kopernika 2.0</w:t>
      </w:r>
    </w:p>
    <w:p w:rsidR="00443998" w:rsidRPr="00B757EA" w:rsidRDefault="00443998" w:rsidP="00116DA3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 xml:space="preserve">§ 1   </w:t>
      </w:r>
    </w:p>
    <w:p w:rsidR="00443998" w:rsidRPr="00B757EA" w:rsidRDefault="00443998" w:rsidP="00116DA3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>Ogólny opis projektu</w:t>
      </w:r>
    </w:p>
    <w:p w:rsidR="00443998" w:rsidRPr="00B757EA" w:rsidRDefault="00423AD9" w:rsidP="00116DA3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</w:pPr>
      <w:r w:rsidRPr="00B757EA">
        <w:t>W ramach</w:t>
      </w:r>
      <w:r w:rsidR="00443998" w:rsidRPr="00B757EA">
        <w:t xml:space="preserve"> projektu</w:t>
      </w:r>
      <w:r w:rsidRPr="00B757EA">
        <w:t xml:space="preserve"> planowane</w:t>
      </w:r>
      <w:r w:rsidR="00443998" w:rsidRPr="00B757EA">
        <w:t xml:space="preserve"> jest podjęcie działań zmierzających do poszerzenia oferty uczelni w zakresie realizacji jej służebnej roli wobec państwa i społeczności lokalnej- czyli</w:t>
      </w:r>
      <w:r w:rsidR="000958D8" w:rsidRPr="00B757EA">
        <w:t xml:space="preserve"> </w:t>
      </w:r>
      <w:r w:rsidR="00443998" w:rsidRPr="00B757EA">
        <w:t>w zakres</w:t>
      </w:r>
      <w:r w:rsidRPr="00B757EA">
        <w:t xml:space="preserve">ie tzw. trzeciej misji. Misji, </w:t>
      </w:r>
      <w:r w:rsidR="00443998" w:rsidRPr="00B757EA">
        <w:t>rozumianej m.in. jako pogłębianie współpracy uczelni z jej otoczeniem zewnętrznym poprzez upowszechnianie/udostępnianie wyników badań naukowych i wiedzy naukowej wśród społeczności lokalnej i regionalnej, a w szczególności wśród młodzieży szkolnej.  Projekt pełni funkcję forum aktywności społecznej poprzez przeprowadzenie działań dydaktycznych z zakresu profilaktyki zdrowotnej, które to jednocześnie służyć będą rozwijaniu wśród uczestników projektu kompetencji w zakresie komunikowania się, współpracy, myślenia krytycznego i kreatywnego oraz rozwiązywania problemów i działań innowacyjnych przy wykorzystywaniu istniejących  zasobów Akademii Pomorskiej  (zarówno kadry dydaktycznej jak                 i laboratoriów, aparatury naukowej, itp.). Efektem realizacji projektu będzie stworzenie                                i przeprowadzenie niekonwencjonalnych modułów zajęć w zakresie profilaktyki zdrowotnej obejmujących sposoby  i metody rozbudzenia w młodzieży ciekawości, kreatywności i chęci pogłębiania wiedzy. Wiedza, którą dzięki Akademii zdobędą uczestnicy propagowana będzie                    w ramach projektu wśród pozostałych mieszkańców Ziemi Słupskiej.</w:t>
      </w:r>
    </w:p>
    <w:p w:rsidR="00443998" w:rsidRPr="00B757EA" w:rsidRDefault="00443998" w:rsidP="00116DA3">
      <w:pPr>
        <w:pStyle w:val="Akapitzlist"/>
        <w:numPr>
          <w:ilvl w:val="0"/>
          <w:numId w:val="9"/>
        </w:numPr>
        <w:ind w:left="284" w:hanging="284"/>
        <w:jc w:val="both"/>
      </w:pPr>
      <w:r w:rsidRPr="00B757EA">
        <w:t xml:space="preserve">Projekt przewiduje realizację działań dotyczących profilaktyki chorób cywilizacyjnych propagujących zdrowy tryb życia wśród młodzieży szkół średnich. Grupa docelowa (młodzież szkół średnich) w sposób kompleksowy zostanie objęta działaniami w formie </w:t>
      </w:r>
      <w:r w:rsidR="00A4584A" w:rsidRPr="00B757EA">
        <w:t>pięciu</w:t>
      </w:r>
      <w:r w:rsidRPr="00B757EA">
        <w:t xml:space="preserve"> tematycznych modułów- ścieżek zdrowia, które przyczynią się do znaczącego wzrostu świadomości w zakresie monitoringu stanu zdrowia własnego organizmu oraz zależności zdrowia od stosowanego odżywiania, uprawianej aktywności ruchowej, a także psychologicznej ścieżki zdrowia. Moduły te</w:t>
      </w:r>
      <w:r w:rsidR="00A4584A" w:rsidRPr="00B757EA">
        <w:t>,</w:t>
      </w:r>
      <w:r w:rsidRPr="00B757EA">
        <w:t xml:space="preserve"> prowadzone w formie kursów edukacyjnych będą miały charakter  warsztatowy lub zajęć laboratoryjnych i prowadzone będą przez pracowników dydaktycznych kilku instytutów Akademii Pomorskiej. Zakłada się, iż partner w projekcie tj. organizacja pozarządowa, wykorzystując posiadane zasoby i doświadczenie, zajmie się rekrutacją uczestników projektu oraz upowszechnianiem/promocją wyników projektu, w tym w formie organizacj</w:t>
      </w:r>
      <w:r w:rsidR="00A4584A" w:rsidRPr="00B757EA">
        <w:t>i</w:t>
      </w:r>
      <w:r w:rsidRPr="00B757EA">
        <w:t xml:space="preserve"> deba</w:t>
      </w:r>
      <w:r w:rsidR="00423AD9" w:rsidRPr="00B757EA">
        <w:t>t.</w:t>
      </w:r>
    </w:p>
    <w:p w:rsidR="00443998" w:rsidRPr="00B757EA" w:rsidRDefault="00466FF6" w:rsidP="00116DA3">
      <w:pPr>
        <w:pStyle w:val="Akapitzlist"/>
        <w:numPr>
          <w:ilvl w:val="0"/>
          <w:numId w:val="9"/>
        </w:numPr>
        <w:ind w:left="284" w:hanging="284"/>
        <w:jc w:val="both"/>
      </w:pPr>
      <w:r w:rsidRPr="00B757EA">
        <w:t>W ramach projektu realizowane są następujące moduły</w:t>
      </w:r>
      <w:r w:rsidR="00443998" w:rsidRPr="00B757EA">
        <w:t xml:space="preserve">: </w:t>
      </w:r>
    </w:p>
    <w:p w:rsidR="00443998" w:rsidRPr="00B757EA" w:rsidRDefault="00466FF6" w:rsidP="00A4584A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b/>
          <w:bCs/>
        </w:rPr>
      </w:pPr>
      <w:r w:rsidRPr="00B757EA">
        <w:t>Ścieżką ku wiedzy o swoim ciele</w:t>
      </w:r>
    </w:p>
    <w:p w:rsidR="00443998" w:rsidRPr="00B757EA" w:rsidRDefault="00466FF6" w:rsidP="00A4584A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B757EA">
        <w:t>Ścieżką do zrozumienia siebie</w:t>
      </w:r>
    </w:p>
    <w:p w:rsidR="00466FF6" w:rsidRPr="00B757EA" w:rsidRDefault="00466FF6" w:rsidP="00466FF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757EA">
        <w:t>Aktywność fizyczna ścieżką do stylu Twojego życia</w:t>
      </w:r>
    </w:p>
    <w:p w:rsidR="00466FF6" w:rsidRPr="00B757EA" w:rsidRDefault="00466FF6" w:rsidP="00466FF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757EA">
        <w:t>Twoja dieta i Twoje życie</w:t>
      </w:r>
    </w:p>
    <w:p w:rsidR="00443998" w:rsidRPr="00B757EA" w:rsidRDefault="00466FF6" w:rsidP="00466FF6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B757EA">
        <w:lastRenderedPageBreak/>
        <w:t>Rozwój kompetencji interpersonalnych- ścieżką skutecznej i efektywnej popularyzacji nabytej wiedzy</w:t>
      </w:r>
    </w:p>
    <w:p w:rsidR="00443998" w:rsidRPr="00B757EA" w:rsidRDefault="00443998" w:rsidP="00116DA3">
      <w:pPr>
        <w:pStyle w:val="Akapitzlist"/>
        <w:numPr>
          <w:ilvl w:val="0"/>
          <w:numId w:val="9"/>
        </w:numPr>
        <w:ind w:left="284" w:hanging="284"/>
        <w:jc w:val="both"/>
      </w:pPr>
      <w:r w:rsidRPr="00B757EA">
        <w:t xml:space="preserve">Uczestnicy biorąc aktywny udział w poszczególnych modułach- tworzących Ścieżkę Kopernika ku zdrowiu- będą rozwijali także swoje kompetencje komunikacyjne, współpracy, myślenia krytycznego i kreatywnego oraz </w:t>
      </w:r>
      <w:proofErr w:type="spellStart"/>
      <w:r w:rsidRPr="00B757EA">
        <w:t>pozaschematycznego</w:t>
      </w:r>
      <w:proofErr w:type="spellEnd"/>
      <w:r w:rsidRPr="00B757EA">
        <w:t xml:space="preserve"> rozwiązywania problemów za pomocą działań innowacyjnych w praktyce. </w:t>
      </w:r>
    </w:p>
    <w:p w:rsidR="00666BBC" w:rsidRPr="00B757EA" w:rsidRDefault="00443998" w:rsidP="00116DA3">
      <w:pPr>
        <w:pStyle w:val="Akapitzlist"/>
        <w:numPr>
          <w:ilvl w:val="0"/>
          <w:numId w:val="9"/>
        </w:numPr>
        <w:ind w:left="284" w:hanging="284"/>
        <w:jc w:val="both"/>
      </w:pPr>
      <w:r w:rsidRPr="00B757EA">
        <w:t xml:space="preserve">Celem partnerstwa jest wspólna realizacja Projektu dla zapewnienia kompleksowości działań, efektu synergii </w:t>
      </w:r>
      <w:r w:rsidR="00666BBC" w:rsidRPr="00B757EA">
        <w:t xml:space="preserve">w wyniku </w:t>
      </w:r>
      <w:r w:rsidRPr="00B757EA">
        <w:t>wspólnych prac i wspólnego rozwiązywania problemów</w:t>
      </w:r>
    </w:p>
    <w:p w:rsidR="00443998" w:rsidRPr="00B757EA" w:rsidRDefault="00443998" w:rsidP="00116DA3">
      <w:pPr>
        <w:pStyle w:val="Akapitzlist"/>
        <w:numPr>
          <w:ilvl w:val="0"/>
          <w:numId w:val="9"/>
        </w:numPr>
        <w:ind w:left="284" w:hanging="284"/>
        <w:jc w:val="both"/>
      </w:pPr>
      <w:r w:rsidRPr="00B757EA">
        <w:t>Wskaźnikiem produktu będzie liczba osób, które wezmą udział w kursach edukacyjnych i innych zadaniach objętych projektem:</w:t>
      </w:r>
    </w:p>
    <w:p w:rsidR="00443998" w:rsidRPr="00B757EA" w:rsidRDefault="00443998" w:rsidP="00116DA3">
      <w:pPr>
        <w:pStyle w:val="Akapitzlist"/>
        <w:jc w:val="both"/>
      </w:pPr>
      <w:r w:rsidRPr="00B757EA">
        <w:t>- 84 osoby- 2 nabory (po 42 osoby w każdym naborze).</w:t>
      </w:r>
    </w:p>
    <w:p w:rsidR="00443998" w:rsidRPr="00B757EA" w:rsidRDefault="00443998" w:rsidP="00116DA3">
      <w:pPr>
        <w:pStyle w:val="Akapitzlist"/>
        <w:numPr>
          <w:ilvl w:val="0"/>
          <w:numId w:val="9"/>
        </w:numPr>
        <w:ind w:left="284" w:hanging="284"/>
        <w:jc w:val="both"/>
      </w:pPr>
      <w:r w:rsidRPr="00B757EA">
        <w:t>Wskaźnikiem rezultatu będzie liczba osób, które przez udział w projekcie podniosą swoje kompetencje:</w:t>
      </w:r>
    </w:p>
    <w:p w:rsidR="00443998" w:rsidRPr="00B757EA" w:rsidRDefault="00443998" w:rsidP="00116DA3">
      <w:pPr>
        <w:pStyle w:val="Akapitzlist"/>
        <w:jc w:val="both"/>
      </w:pPr>
      <w:r w:rsidRPr="00B757EA">
        <w:t xml:space="preserve"> -72 osoby- 2 nabory (po 36 osób w każdym naborze)</w:t>
      </w:r>
    </w:p>
    <w:p w:rsidR="00443998" w:rsidRPr="00B757EA" w:rsidRDefault="00443998" w:rsidP="00116DA3">
      <w:pPr>
        <w:pStyle w:val="Akapitzlist"/>
        <w:ind w:hanging="720"/>
        <w:jc w:val="both"/>
      </w:pPr>
      <w:r w:rsidRPr="00B757EA">
        <w:t>8. Termin realizacji projektu- I etap (pierwszy nabór uczestników) 01.08.2017r.- 31.07.2018r.</w:t>
      </w:r>
    </w:p>
    <w:p w:rsidR="00443998" w:rsidRPr="00B757EA" w:rsidRDefault="00443998" w:rsidP="00116DA3">
      <w:pPr>
        <w:jc w:val="both"/>
      </w:pPr>
      <w:r w:rsidRPr="00B757EA">
        <w:tab/>
      </w:r>
      <w:r w:rsidRPr="00B757EA">
        <w:tab/>
      </w:r>
      <w:r w:rsidRPr="00B757EA">
        <w:tab/>
        <w:t xml:space="preserve">            II etap (drugi nabór uczestników)       01.08.2018r.- 31.07.2019r.</w:t>
      </w:r>
    </w:p>
    <w:p w:rsidR="00443998" w:rsidRPr="00B757EA" w:rsidRDefault="00717489" w:rsidP="00116DA3">
      <w:pPr>
        <w:pStyle w:val="Akapitzlist"/>
        <w:numPr>
          <w:ilvl w:val="0"/>
          <w:numId w:val="14"/>
        </w:numPr>
        <w:ind w:left="284" w:hanging="284"/>
        <w:jc w:val="both"/>
      </w:pPr>
      <w:r w:rsidRPr="00B757EA">
        <w:t>W</w:t>
      </w:r>
      <w:r w:rsidR="00443998" w:rsidRPr="00B757EA">
        <w:t xml:space="preserve">artość projektu- </w:t>
      </w:r>
      <w:r w:rsidRPr="00B757EA">
        <w:rPr>
          <w:rFonts w:ascii="Verdana" w:hAnsi="Verdana" w:cs="Verdana"/>
          <w:sz w:val="18"/>
          <w:szCs w:val="18"/>
          <w:lang w:eastAsia="pl-PL"/>
        </w:rPr>
        <w:t>186 270,00zł</w:t>
      </w:r>
    </w:p>
    <w:p w:rsidR="00443998" w:rsidRPr="00B757EA" w:rsidRDefault="00443998" w:rsidP="00116DA3">
      <w:pPr>
        <w:spacing w:after="0" w:line="240" w:lineRule="auto"/>
        <w:jc w:val="center"/>
        <w:rPr>
          <w:b/>
          <w:bCs/>
        </w:rPr>
      </w:pPr>
      <w:r w:rsidRPr="00B757EA">
        <w:rPr>
          <w:b/>
          <w:bCs/>
        </w:rPr>
        <w:t xml:space="preserve">§2   </w:t>
      </w:r>
    </w:p>
    <w:p w:rsidR="00443998" w:rsidRPr="00B757EA" w:rsidRDefault="00443998" w:rsidP="00116DA3">
      <w:pPr>
        <w:spacing w:after="0" w:line="240" w:lineRule="auto"/>
        <w:jc w:val="center"/>
        <w:rPr>
          <w:b/>
          <w:bCs/>
        </w:rPr>
      </w:pPr>
      <w:r w:rsidRPr="00B757EA">
        <w:rPr>
          <w:b/>
          <w:bCs/>
        </w:rPr>
        <w:t xml:space="preserve">Partner </w:t>
      </w:r>
      <w:r w:rsidRPr="00B757EA">
        <w:rPr>
          <w:b/>
          <w:bCs/>
          <w:u w:val="single"/>
        </w:rPr>
        <w:t>powinien</w:t>
      </w:r>
      <w:r w:rsidRPr="00B757EA">
        <w:rPr>
          <w:b/>
          <w:bCs/>
        </w:rPr>
        <w:t xml:space="preserve"> spełniać następujące wymagania:</w:t>
      </w:r>
    </w:p>
    <w:p w:rsidR="00443998" w:rsidRPr="00B757EA" w:rsidRDefault="00443998" w:rsidP="00A4584A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b/>
          <w:bCs/>
        </w:rPr>
      </w:pPr>
      <w:r w:rsidRPr="00B757EA">
        <w:rPr>
          <w:b/>
          <w:bCs/>
        </w:rPr>
        <w:t>Kryteria formalne</w:t>
      </w:r>
    </w:p>
    <w:p w:rsidR="00443998" w:rsidRPr="00B757EA" w:rsidRDefault="00443998" w:rsidP="00A458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757EA">
        <w:t>Forma prawna podmiotu- organizacja pozarządowa.</w:t>
      </w:r>
    </w:p>
    <w:p w:rsidR="00443998" w:rsidRPr="00B757EA" w:rsidRDefault="00443998" w:rsidP="00A458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757EA">
        <w:t>Statut zakłada działalność podmiotu w obszarze nauki i edukacji oraz wspieranie rozwoju społeczności lokalnych, a także współpracę z instytucjami samorządowymi.</w:t>
      </w:r>
    </w:p>
    <w:p w:rsidR="00443998" w:rsidRPr="00B757EA" w:rsidRDefault="00443998" w:rsidP="00A4584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757EA">
        <w:t xml:space="preserve">Podmiot realizuje działania związane z budowaniem społeczeństwa obywatelskiego poprzez np. organizację  debat obywatelskich, konferencji, eventów i bezpłatnych szkoleń- należy podać co najmniej </w:t>
      </w:r>
      <w:r w:rsidR="00E96C96" w:rsidRPr="00B757EA">
        <w:t>dwa</w:t>
      </w:r>
      <w:r w:rsidR="000958D8" w:rsidRPr="00B757EA">
        <w:t xml:space="preserve"> </w:t>
      </w:r>
      <w:r w:rsidRPr="00B757EA">
        <w:t xml:space="preserve">takie działania zrealizowane w przeciągu ostatnich </w:t>
      </w:r>
      <w:r w:rsidR="00E96C96" w:rsidRPr="00B757EA">
        <w:t>czterech</w:t>
      </w:r>
      <w:r w:rsidRPr="00B757EA">
        <w:t xml:space="preserve"> lat.</w:t>
      </w:r>
    </w:p>
    <w:p w:rsidR="00443998" w:rsidRPr="00B757EA" w:rsidRDefault="00443998" w:rsidP="00116DA3">
      <w:pPr>
        <w:numPr>
          <w:ilvl w:val="0"/>
          <w:numId w:val="1"/>
        </w:numPr>
        <w:spacing w:after="0"/>
        <w:jc w:val="both"/>
      </w:pPr>
      <w:r w:rsidRPr="00B757EA">
        <w:t>Posiada siedzibę na terenie Miejskiego Obszaru Funkcjonalnego Słupska.</w:t>
      </w:r>
    </w:p>
    <w:p w:rsidR="00443998" w:rsidRPr="00B757EA" w:rsidRDefault="00443998" w:rsidP="00A4584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57EA">
        <w:t xml:space="preserve">Posiada potencjał finansowy oraz kadrowo – organizacyjny niezbędny do realizacji projektu. </w:t>
      </w:r>
    </w:p>
    <w:p w:rsidR="00443998" w:rsidRPr="00B757EA" w:rsidRDefault="00443998" w:rsidP="00A4584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57EA">
        <w:t>Zadeklaruje wniesienie wkładu własnego (finansowego bądź niefinansowego)  w realizację projektu.</w:t>
      </w:r>
    </w:p>
    <w:p w:rsidR="00443998" w:rsidRPr="00B757EA" w:rsidRDefault="00443998" w:rsidP="00A4584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57EA">
        <w:t>Posiada udokumentowane doświadczenie w pozyskiwaniu i realizacji projektów współfinansowanych ze środków Unii Europejskiej w ramach Europejskiego Funduszu Społecznego, tj.: udokumentowane doświadczenie w, realizacji i rozliczaniu</w:t>
      </w:r>
      <w:r w:rsidR="00E96C96" w:rsidRPr="00B757EA">
        <w:t xml:space="preserve"> w przeciągu ostatnich 5</w:t>
      </w:r>
      <w:r w:rsidRPr="00B757EA">
        <w:t xml:space="preserve"> lat minimum </w:t>
      </w:r>
      <w:r w:rsidR="00E96C96" w:rsidRPr="00B757EA">
        <w:t>jednego takiego projektu.</w:t>
      </w:r>
    </w:p>
    <w:p w:rsidR="00443998" w:rsidRPr="00B757EA" w:rsidRDefault="00443998" w:rsidP="00116DA3">
      <w:pPr>
        <w:pStyle w:val="Akapitzlist"/>
        <w:numPr>
          <w:ilvl w:val="0"/>
          <w:numId w:val="11"/>
        </w:numPr>
        <w:ind w:left="284" w:hanging="284"/>
        <w:jc w:val="both"/>
      </w:pPr>
      <w:r w:rsidRPr="00B757EA">
        <w:rPr>
          <w:b/>
          <w:bCs/>
        </w:rPr>
        <w:t>Kryteria merytoryczne</w:t>
      </w:r>
    </w:p>
    <w:p w:rsidR="00443998" w:rsidRPr="00B757EA" w:rsidRDefault="00443998" w:rsidP="00116DA3">
      <w:pPr>
        <w:pStyle w:val="Akapitzlist"/>
        <w:numPr>
          <w:ilvl w:val="0"/>
          <w:numId w:val="13"/>
        </w:numPr>
        <w:jc w:val="both"/>
        <w:rPr>
          <w:i/>
          <w:iCs/>
          <w:u w:val="single"/>
        </w:rPr>
      </w:pPr>
      <w:r w:rsidRPr="00B757EA">
        <w:t xml:space="preserve">W przeciągu ostatnich </w:t>
      </w:r>
      <w:r w:rsidR="00E96C96" w:rsidRPr="00B757EA">
        <w:t>5</w:t>
      </w:r>
      <w:r w:rsidRPr="00B757EA">
        <w:t xml:space="preserve"> lat, realizował działania (we współpracy z samorządami lokalnymi i/lub szkołami i/lub młodzieżą uczącą się w szkołach średnich) związane z aktywizacją społeczną, w tym także młodzieży szkolnej (organizacja co najmniej dwóch wydarzeń aktywizujących społeczność lokalną, w tym  młodzież szkolną)- </w:t>
      </w:r>
      <w:r w:rsidRPr="00B757EA">
        <w:rPr>
          <w:i/>
          <w:iCs/>
          <w:u w:val="single"/>
        </w:rPr>
        <w:t xml:space="preserve">Opis sposobu weryfikacji NIE (nie posiada) – 0 punktów, TAK (posiada) – organizacja dwóch wydarzeń 5 pkt, organizacja 3                    i więcej wydarzeń- 10pkt. </w:t>
      </w:r>
    </w:p>
    <w:p w:rsidR="00443998" w:rsidRPr="00B757EA" w:rsidRDefault="00443998" w:rsidP="00116DA3">
      <w:pPr>
        <w:pStyle w:val="Akapitzlist"/>
        <w:numPr>
          <w:ilvl w:val="0"/>
          <w:numId w:val="13"/>
        </w:numPr>
        <w:jc w:val="both"/>
      </w:pPr>
      <w:r w:rsidRPr="00B757EA">
        <w:lastRenderedPageBreak/>
        <w:t>Prowadzi co najmniej 12 miesięczną sformalizowaną i udokumentowaną współpracę                              z Akademią Pomorską w Słupsku w zakresie rozwijania trzeciej misji uczelni</w:t>
      </w:r>
    </w:p>
    <w:p w:rsidR="00443998" w:rsidRPr="00B757EA" w:rsidRDefault="00443998" w:rsidP="00510496">
      <w:pPr>
        <w:pStyle w:val="Akapitzlist"/>
        <w:jc w:val="both"/>
        <w:rPr>
          <w:i/>
          <w:iCs/>
          <w:u w:val="single"/>
        </w:rPr>
      </w:pPr>
      <w:r w:rsidRPr="00B757EA">
        <w:rPr>
          <w:i/>
          <w:iCs/>
          <w:u w:val="single"/>
        </w:rPr>
        <w:t>Opis sposobu weryfikacji NIE (nie posiada) – 0 punktów, TAK (posiada) – 10 punktów</w:t>
      </w:r>
    </w:p>
    <w:p w:rsidR="00443998" w:rsidRPr="00B757EA" w:rsidRDefault="00443998" w:rsidP="00116DA3">
      <w:pPr>
        <w:pStyle w:val="Akapitzlist"/>
        <w:ind w:left="284"/>
        <w:jc w:val="both"/>
      </w:pPr>
      <w:r w:rsidRPr="00B757EA">
        <w:t xml:space="preserve">Rodzaje dokumentów jakie należy dołączyć do składanej oferty w celu weryfikacji spełnienia poszczególnych kryteriów, wymienione są w Formularzu Oferty- załącznik nr 1 do ogłoszenia                   o konkursie. </w:t>
      </w:r>
    </w:p>
    <w:p w:rsidR="00443998" w:rsidRPr="00B757EA" w:rsidRDefault="00443998" w:rsidP="00116DA3">
      <w:pPr>
        <w:pStyle w:val="Akapitzlist"/>
        <w:spacing w:after="0" w:line="360" w:lineRule="auto"/>
        <w:ind w:hanging="720"/>
        <w:jc w:val="center"/>
        <w:rPr>
          <w:b/>
          <w:bCs/>
        </w:rPr>
      </w:pPr>
      <w:r w:rsidRPr="00B757EA">
        <w:rPr>
          <w:b/>
          <w:bCs/>
        </w:rPr>
        <w:t xml:space="preserve">§ 3  </w:t>
      </w:r>
    </w:p>
    <w:p w:rsidR="00443998" w:rsidRPr="00B757EA" w:rsidRDefault="00443998" w:rsidP="00116DA3">
      <w:pPr>
        <w:pStyle w:val="Akapitzlist"/>
        <w:spacing w:after="0" w:line="360" w:lineRule="auto"/>
        <w:ind w:hanging="720"/>
        <w:jc w:val="center"/>
        <w:rPr>
          <w:b/>
          <w:bCs/>
        </w:rPr>
      </w:pPr>
      <w:r w:rsidRPr="00B757EA">
        <w:rPr>
          <w:b/>
          <w:bCs/>
        </w:rPr>
        <w:t xml:space="preserve"> Proponowany zakres zadań przewidziany dla Partnera:</w:t>
      </w:r>
    </w:p>
    <w:p w:rsidR="00443998" w:rsidRPr="00B757EA" w:rsidRDefault="00443998" w:rsidP="0051049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b/>
          <w:bCs/>
        </w:rPr>
      </w:pPr>
      <w:r w:rsidRPr="00B757EA">
        <w:rPr>
          <w:b/>
          <w:bCs/>
        </w:rPr>
        <w:t>Na etapie realizacji projektu:</w:t>
      </w:r>
    </w:p>
    <w:p w:rsidR="00443998" w:rsidRPr="00B757EA" w:rsidRDefault="00443998" w:rsidP="00510496">
      <w:pPr>
        <w:pStyle w:val="Akapitzlist"/>
        <w:numPr>
          <w:ilvl w:val="0"/>
          <w:numId w:val="5"/>
        </w:numPr>
        <w:ind w:left="709" w:hanging="425"/>
        <w:jc w:val="both"/>
      </w:pPr>
      <w:r w:rsidRPr="00B757EA">
        <w:t>Partner będzie odpowiadał za rekrutację uczestników</w:t>
      </w:r>
      <w:r w:rsidR="00C229B8" w:rsidRPr="00B757EA">
        <w:t xml:space="preserve"> (w II naborze- wrzesień 2018)</w:t>
      </w:r>
      <w:r w:rsidR="00666BBC" w:rsidRPr="00B757EA">
        <w:t xml:space="preserve">poprzez </w:t>
      </w:r>
      <w:r w:rsidRPr="00B757EA">
        <w:t xml:space="preserve"> prowadzenie akcji informacyjno-promocyjnej na ten temat, uzgodnienia ze szkołami i dokonanie niezbędnych ustaleń ze stosownymi samorządami szkolnymi lub innymi organami założycielskimi tych szkół. Partner przeprowadzi rekrutację </w:t>
      </w:r>
      <w:r w:rsidR="00C229B8" w:rsidRPr="00B757EA">
        <w:t>42</w:t>
      </w:r>
      <w:r w:rsidRPr="00B757EA">
        <w:t xml:space="preserve"> uczestników projektu wśród uczniów słupskich szkół średnich</w:t>
      </w:r>
      <w:r w:rsidR="00FD1330" w:rsidRPr="00B757EA">
        <w:t xml:space="preserve"> Partner przeprowadzi rekrutację 42 uczestników projektu wśród uczniów słupskich szkół średnich.  W pierwszym etapie zostanie przeprowadzona rekrutacja max. 6 szkół, a następnie rekrutacja uczniów wszystkich klas (roczników).</w:t>
      </w:r>
    </w:p>
    <w:p w:rsidR="00D65193" w:rsidRPr="00B757EA" w:rsidRDefault="00D65193" w:rsidP="00D65193">
      <w:pPr>
        <w:pStyle w:val="Akapitzlist"/>
        <w:numPr>
          <w:ilvl w:val="0"/>
          <w:numId w:val="5"/>
        </w:numPr>
        <w:ind w:left="709" w:hanging="425"/>
        <w:jc w:val="both"/>
      </w:pPr>
      <w:r w:rsidRPr="00B757EA">
        <w:t>Promocja projektu- W ramach promocji upowszechniana będzie wśród członków lokalnej społeczności wiedza naukowa o zdrowiu poprzez publiczne debaty tematyczne.</w:t>
      </w:r>
    </w:p>
    <w:p w:rsidR="00D65193" w:rsidRPr="00B757EA" w:rsidRDefault="00D65193" w:rsidP="00D65193">
      <w:pPr>
        <w:pStyle w:val="Akapitzlist"/>
        <w:ind w:left="709"/>
        <w:jc w:val="both"/>
      </w:pPr>
      <w:r w:rsidRPr="00B757EA">
        <w:t>Celem ich będzie promocja i upowszechnianie efektów zadań naukowych projektu oraz wiedzy nabytej w trakcie realizacji projektu. Odbywać się one będą z udziałem uczestników projektu i społecznością lokalną.</w:t>
      </w:r>
    </w:p>
    <w:p w:rsidR="00D65193" w:rsidRPr="00B757EA" w:rsidRDefault="00D65193" w:rsidP="00D65193">
      <w:pPr>
        <w:pStyle w:val="Akapitzlist"/>
        <w:ind w:left="709"/>
        <w:jc w:val="both"/>
      </w:pPr>
      <w:r w:rsidRPr="00B757EA">
        <w:t xml:space="preserve">Uczestnicy wykorzystają wcześniej nabyte kompetencje niezbędne do publicznego prowadzenia debat, wykorzystają techniki i metody skutecznego argumentowania swoich przekonań. Uczestnicy wezmą aktywny udział jako </w:t>
      </w:r>
      <w:proofErr w:type="spellStart"/>
      <w:r w:rsidRPr="00B757EA">
        <w:t>paneliści</w:t>
      </w:r>
      <w:proofErr w:type="spellEnd"/>
      <w:r w:rsidRPr="00B757EA">
        <w:t xml:space="preserve"> w 2 poniższych działaniach, na wybrane tematy związane z promocją zdrowia, które zorganizowane zostaną jako:</w:t>
      </w:r>
    </w:p>
    <w:p w:rsidR="00D65193" w:rsidRPr="00B757EA" w:rsidRDefault="00D65193" w:rsidP="00D65193">
      <w:pPr>
        <w:pStyle w:val="Akapitzlist"/>
        <w:ind w:left="709"/>
        <w:jc w:val="both"/>
      </w:pPr>
      <w:r w:rsidRPr="00B757EA">
        <w:t>- debata radiowa,</w:t>
      </w:r>
    </w:p>
    <w:p w:rsidR="00D65193" w:rsidRPr="00B757EA" w:rsidRDefault="00D65193" w:rsidP="00D65193">
      <w:pPr>
        <w:pStyle w:val="Akapitzlist"/>
        <w:ind w:left="709"/>
        <w:jc w:val="both"/>
      </w:pPr>
      <w:r w:rsidRPr="00B757EA">
        <w:t xml:space="preserve">- debata publiczna z uczestnikami projektu w roli </w:t>
      </w:r>
      <w:proofErr w:type="spellStart"/>
      <w:r w:rsidRPr="00B757EA">
        <w:t>panelistów</w:t>
      </w:r>
      <w:proofErr w:type="spellEnd"/>
      <w:r w:rsidRPr="00B757EA">
        <w:t xml:space="preserve"> dotycząca upowszechniania informacji o zasobach naukowych Akademii Pomorskiej w Słupsku oraz promujące istotę zadań realizowanych w ramach projektu. Miejsce debaty: Akademia Pomorska, prowadzenie debaty: Partner</w:t>
      </w:r>
    </w:p>
    <w:p w:rsidR="00D65193" w:rsidRPr="00B757EA" w:rsidRDefault="00D65193" w:rsidP="00D65193">
      <w:pPr>
        <w:pStyle w:val="Akapitzlist"/>
        <w:ind w:left="709"/>
        <w:jc w:val="both"/>
      </w:pPr>
      <w:r w:rsidRPr="00B757EA">
        <w:t>Ww. debaty zostaną przeprowadzone dwukrotnie tj. pod koniec realizacji zajęć każdego naboru: maj-czerwiec 2018r., maj- czerwiec 2019r.</w:t>
      </w:r>
    </w:p>
    <w:p w:rsidR="00D65193" w:rsidRPr="00B757EA" w:rsidRDefault="00D65193" w:rsidP="006C10DE">
      <w:pPr>
        <w:pStyle w:val="Akapitzlist"/>
        <w:ind w:left="709"/>
        <w:jc w:val="both"/>
      </w:pPr>
      <w:r w:rsidRPr="00B757EA">
        <w:t>Ponadto do zadań partnera należeć będzie promowanie działań realizowanych w ramach projektu na</w:t>
      </w:r>
      <w:r w:rsidR="006C10DE" w:rsidRPr="00B757EA">
        <w:t xml:space="preserve"> </w:t>
      </w:r>
      <w:r w:rsidRPr="00B757EA">
        <w:t xml:space="preserve">swojej stronie internetowej, </w:t>
      </w:r>
      <w:proofErr w:type="spellStart"/>
      <w:r w:rsidRPr="00B757EA">
        <w:t>meiling</w:t>
      </w:r>
      <w:proofErr w:type="spellEnd"/>
      <w:r w:rsidRPr="00B757EA">
        <w:t xml:space="preserve"> - z uwzględnieniem wytycznych PO WER. Wymienione działania pozwolą na rozbudzanie w młodzieży ciekawości, kreatywności i chęci nabywania wiedzy naukowej. Sposób promocji będzie służył promowaniu idei trzeciej misji uczelni. Promocja prowadzona będzie zgodnie Wytycznymi w tym zakresie. Dokumenty </w:t>
      </w:r>
      <w:r w:rsidRPr="00B757EA">
        <w:lastRenderedPageBreak/>
        <w:t>rekrutacyjne oraz informacja o projekcie dostępna będzie na stronie internetowej Lidera i Partnera.</w:t>
      </w:r>
    </w:p>
    <w:p w:rsidR="008F2B84" w:rsidRPr="00B757EA" w:rsidRDefault="00443998" w:rsidP="00510496">
      <w:pPr>
        <w:pStyle w:val="Akapitzlist"/>
        <w:numPr>
          <w:ilvl w:val="0"/>
          <w:numId w:val="5"/>
        </w:numPr>
        <w:ind w:left="709" w:hanging="425"/>
        <w:jc w:val="both"/>
      </w:pPr>
      <w:r w:rsidRPr="00B757EA">
        <w:t>Udział w pra</w:t>
      </w:r>
      <w:r w:rsidR="00EA5BDA" w:rsidRPr="00B757EA">
        <w:t>cach Grupy Sterującej projektem</w:t>
      </w:r>
    </w:p>
    <w:p w:rsidR="00443998" w:rsidRPr="00B757EA" w:rsidRDefault="00443998" w:rsidP="00510496">
      <w:pPr>
        <w:pStyle w:val="Akapitzlist"/>
        <w:numPr>
          <w:ilvl w:val="0"/>
          <w:numId w:val="5"/>
        </w:numPr>
        <w:ind w:left="709" w:hanging="425"/>
        <w:jc w:val="both"/>
      </w:pPr>
      <w:r w:rsidRPr="00B757EA">
        <w:t xml:space="preserve">Promowanie działań realizowanych w ramach projektu na swojej stronie internetowej                   i w inny sposób </w:t>
      </w:r>
      <w:proofErr w:type="spellStart"/>
      <w:r w:rsidRPr="00B757EA">
        <w:t>bezkosztowy</w:t>
      </w:r>
      <w:proofErr w:type="spellEnd"/>
      <w:r w:rsidRPr="00B757EA">
        <w:t>, z przestrzeganiem wytycznych PO WER</w:t>
      </w:r>
      <w:r w:rsidR="008F2B84" w:rsidRPr="00B757EA">
        <w:t>.</w:t>
      </w:r>
    </w:p>
    <w:p w:rsidR="00443998" w:rsidRPr="00B757EA" w:rsidRDefault="00443998" w:rsidP="00510496">
      <w:pPr>
        <w:pStyle w:val="Akapitzlist"/>
        <w:numPr>
          <w:ilvl w:val="0"/>
          <w:numId w:val="5"/>
        </w:numPr>
        <w:ind w:left="709" w:hanging="425"/>
        <w:jc w:val="both"/>
      </w:pPr>
      <w:r w:rsidRPr="00B757EA">
        <w:t xml:space="preserve">Ścisła współpraca z Liderem Projektu na etapie realizacji projektu, w tym w zakresie przestrzegania zasad realizacji projektu określonych stosownymi wytycznymi funduszy UE                  i umową o dofinansowanie, </w:t>
      </w:r>
      <w:r w:rsidR="008F2B84" w:rsidRPr="00B757EA">
        <w:t xml:space="preserve">podpisaną przez </w:t>
      </w:r>
      <w:r w:rsidRPr="00B757EA">
        <w:t>Lider</w:t>
      </w:r>
      <w:r w:rsidR="008F2B84" w:rsidRPr="00B757EA">
        <w:t>a</w:t>
      </w:r>
      <w:r w:rsidRPr="00B757EA">
        <w:t xml:space="preserve"> projektu z Instytucją Pośredniczącą                    tj. z Narodowym Centrum Badań i Rozwoju w Warszawi</w:t>
      </w:r>
      <w:r w:rsidR="008F2B84" w:rsidRPr="00B757EA">
        <w:t>e.</w:t>
      </w:r>
    </w:p>
    <w:p w:rsidR="008F2B84" w:rsidRPr="00B757EA" w:rsidRDefault="008F2B84" w:rsidP="007D4C50">
      <w:pPr>
        <w:spacing w:after="0" w:line="360" w:lineRule="auto"/>
        <w:jc w:val="center"/>
        <w:rPr>
          <w:b/>
          <w:bCs/>
        </w:rPr>
      </w:pPr>
    </w:p>
    <w:p w:rsidR="00443998" w:rsidRPr="00B757EA" w:rsidRDefault="00443998" w:rsidP="007D4C50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 xml:space="preserve">§ 4  </w:t>
      </w:r>
    </w:p>
    <w:p w:rsidR="00443998" w:rsidRPr="00B757EA" w:rsidRDefault="00443998" w:rsidP="007D4C50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>Sposób przygotowania i złożenia oferty</w:t>
      </w:r>
    </w:p>
    <w:p w:rsidR="00443998" w:rsidRPr="00B757EA" w:rsidRDefault="00443998" w:rsidP="00457262">
      <w:pPr>
        <w:jc w:val="both"/>
      </w:pPr>
      <w:r w:rsidRPr="00B757EA">
        <w:t>1. Podmiot ubiegający się o wybór na Partnera w procedurze otwartego konkursu jest zobowiązany do przedłożenia następujących dokumentów (oryginał lub uwierzytelniona kopia):</w:t>
      </w:r>
    </w:p>
    <w:p w:rsidR="00443998" w:rsidRPr="00B757EA" w:rsidRDefault="00443998" w:rsidP="00457262">
      <w:pPr>
        <w:ind w:left="284"/>
        <w:jc w:val="both"/>
      </w:pPr>
      <w:r w:rsidRPr="00B757EA">
        <w:t>1.1   wypełnionego „Formularza Oferty” w oparciu o zamieszczony wzór umieszczony  na stronie internetowej Akademii Pomorskiej: http://apsl.nowybip.pl/ogloszenia</w:t>
      </w:r>
    </w:p>
    <w:p w:rsidR="00443998" w:rsidRPr="00B757EA" w:rsidRDefault="00443998" w:rsidP="00457262">
      <w:pPr>
        <w:ind w:left="284"/>
        <w:jc w:val="both"/>
      </w:pPr>
      <w:r w:rsidRPr="00B757EA">
        <w:t>1.2    aktualnego wypisu z KRS (ważny 3 miesiące od daty uzyskania) lub innego równoważnego dokumentu potwierdzającego formę prawną i organizacyjną oraz umocowanie osób go reprezentujących,</w:t>
      </w:r>
    </w:p>
    <w:p w:rsidR="00443998" w:rsidRPr="00B757EA" w:rsidRDefault="00443998" w:rsidP="00457262">
      <w:pPr>
        <w:ind w:left="284"/>
        <w:jc w:val="both"/>
      </w:pPr>
      <w:r w:rsidRPr="00B757EA">
        <w:t xml:space="preserve">1.3    sprawozdanie finansowe – bilans oraz rachunek zysków i strat za ostatni zamknięty rok zgodnie z przepisami ustawy z dnia 29 września 1994 r. o rachunkowości (Dz. U. z 2013 r.  poz. 330 z </w:t>
      </w:r>
      <w:proofErr w:type="spellStart"/>
      <w:r w:rsidRPr="00B757EA">
        <w:t>późn</w:t>
      </w:r>
      <w:proofErr w:type="spellEnd"/>
      <w:r w:rsidRPr="00B757EA">
        <w:t>. zm.) lub uproszczone sprawozdanie finansowe – uproszczony bilans oraz rachunek zysków i strat (w przypadku instytucji niezobligowanych do sporządzenia dokumentów o których mowa w niniejszym punkcie) oraz zaświadczenie o niezaleganiu z płatnościami wobec ZUS i Urzędu Skarbowego (wystawione nie wcześniej niż 6 miesięcy od dnia złożenia oferty),</w:t>
      </w:r>
    </w:p>
    <w:p w:rsidR="00443998" w:rsidRPr="00B757EA" w:rsidRDefault="00443998" w:rsidP="00457262">
      <w:pPr>
        <w:ind w:left="284"/>
        <w:jc w:val="both"/>
      </w:pPr>
      <w:r w:rsidRPr="00B757EA">
        <w:t>1.4 dokumenty poświadczające spe</w:t>
      </w:r>
      <w:r w:rsidR="00883C8E" w:rsidRPr="00B757EA">
        <w:t>łnienie kryteriów zgodnie z  §2</w:t>
      </w:r>
      <w:r w:rsidRPr="00B757EA">
        <w:t xml:space="preserve">  Ogłoszenia o konkursie.</w:t>
      </w:r>
    </w:p>
    <w:p w:rsidR="00443998" w:rsidRPr="00B757EA" w:rsidRDefault="00443998" w:rsidP="00743DD4">
      <w:pPr>
        <w:ind w:left="284" w:hanging="284"/>
        <w:jc w:val="both"/>
      </w:pPr>
      <w:r w:rsidRPr="00B757EA">
        <w:t>2. Oferty złożone w sposób niekompletny nie będą rozpatrywane ze względów formalnych.</w:t>
      </w:r>
    </w:p>
    <w:p w:rsidR="00443998" w:rsidRPr="00B757EA" w:rsidRDefault="00443998" w:rsidP="00743DD4">
      <w:pPr>
        <w:ind w:left="284" w:hanging="284"/>
        <w:jc w:val="both"/>
      </w:pPr>
      <w:r w:rsidRPr="00B757EA">
        <w:t>3. Kopie dokumentów dołączone do oferty muszą być opatrzone pieczęcią podmiotu, aktualną datą, własnoręcznym podpisem osoby/osób uprawnionej do reprezentowania podmiotu oraz poświadczone za zgodność z oryginałem.</w:t>
      </w:r>
    </w:p>
    <w:p w:rsidR="00443998" w:rsidRPr="00B757EA" w:rsidRDefault="00443998" w:rsidP="00CE3B70">
      <w:pPr>
        <w:ind w:left="284"/>
        <w:jc w:val="both"/>
      </w:pPr>
      <w:r w:rsidRPr="00B757EA">
        <w:t xml:space="preserve">4. Oferty należy składać w terminie do dnia </w:t>
      </w:r>
      <w:r w:rsidR="00EA5BDA" w:rsidRPr="00B757EA">
        <w:t>0</w:t>
      </w:r>
      <w:r w:rsidR="00D21755" w:rsidRPr="00B757EA">
        <w:t>8</w:t>
      </w:r>
      <w:r w:rsidR="00EA5BDA" w:rsidRPr="00B757EA">
        <w:t>.12.2017r</w:t>
      </w:r>
      <w:r w:rsidR="00366CB5" w:rsidRPr="00B757EA">
        <w:t>.</w:t>
      </w:r>
      <w:r w:rsidRPr="00B757EA">
        <w:t xml:space="preserve">do godz. 14.00 w siedzibie Akademii Pomorskiej w Słupsku, w  Kancelarii Ogólnej pokój nr. 35, za pośrednictwem poczty lub usług kurierskich, lub osobiście na  adres: ul. Arciszewskiego 22 a, 76-200 Słupsk,  z dopiskiem „Nabór na Partnera do projektu </w:t>
      </w:r>
      <w:r w:rsidR="00666BBC" w:rsidRPr="00B757EA">
        <w:t xml:space="preserve"> Ścieżką Kopernika z Akademią Pomorską! </w:t>
      </w:r>
      <w:r w:rsidRPr="00B757EA">
        <w:t>w ramach Programu Operacyjnego Wiedza Edukacja Rozwój  na lata 2014 – 2020, Oś priorytetowa III Szkolnictwo wyższe dla gospodarki i rozwoju, Działanie 3.1 Kompetencje w szkolnictwie wyższym Konkurs nr 4/SK2.0/POWER/3.1/2016 Ścieżki Kopernika 2.0</w:t>
      </w:r>
    </w:p>
    <w:p w:rsidR="00443998" w:rsidRPr="00B757EA" w:rsidRDefault="00443998" w:rsidP="00CE3B70">
      <w:pPr>
        <w:ind w:left="284"/>
        <w:jc w:val="both"/>
      </w:pPr>
      <w:r w:rsidRPr="00B757EA">
        <w:lastRenderedPageBreak/>
        <w:t>5. W przypadku ofert wysyłanych pocztą, decyduje data wpływu oferty do siedziby Akademii Pomorskiej w Słupsku</w:t>
      </w:r>
    </w:p>
    <w:p w:rsidR="00443998" w:rsidRPr="00B757EA" w:rsidRDefault="00443998" w:rsidP="00CE3B70">
      <w:pPr>
        <w:ind w:left="284"/>
        <w:jc w:val="both"/>
      </w:pPr>
      <w:r w:rsidRPr="00B757EA">
        <w:t>6. Oferty złożone po upływie terminu nie będą rozpatrywane.</w:t>
      </w:r>
    </w:p>
    <w:p w:rsidR="00443998" w:rsidRPr="00B757EA" w:rsidRDefault="00443998" w:rsidP="00CE3B70">
      <w:pPr>
        <w:ind w:left="284"/>
        <w:jc w:val="both"/>
      </w:pPr>
      <w:r w:rsidRPr="00B757EA">
        <w:t xml:space="preserve">7.Zgodnie z zapisami art. 33 ustawy z dnia 11 lipca 2014 r. o zasadach realizacji programów                       w zakresie polityki spójności finansowanych w perspektywie finansowej 2014–2020. (Dz.U. 2016 poz. 217) oferty przyjmowane są przez okres 21 dni od dnia opublikowania przedmiotowego ogłoszenia. Na potrzeby otwartego konkursu, przyjmuje się, że wskazany okres będzie liczony                    w dniach kalendarzowych i upływa w dniu </w:t>
      </w:r>
      <w:r w:rsidR="00EA5BDA" w:rsidRPr="00B757EA">
        <w:t>0</w:t>
      </w:r>
      <w:r w:rsidR="00D21755" w:rsidRPr="00B757EA">
        <w:t>8</w:t>
      </w:r>
      <w:r w:rsidR="00EA5BDA" w:rsidRPr="00B757EA">
        <w:t>.12.2017 r</w:t>
      </w:r>
      <w:r w:rsidRPr="00B757EA">
        <w:rPr>
          <w:bCs/>
        </w:rPr>
        <w:t xml:space="preserve">oku do </w:t>
      </w:r>
      <w:proofErr w:type="spellStart"/>
      <w:r w:rsidRPr="00B757EA">
        <w:rPr>
          <w:bCs/>
        </w:rPr>
        <w:t>godz</w:t>
      </w:r>
      <w:proofErr w:type="spellEnd"/>
      <w:r w:rsidRPr="00B757EA">
        <w:rPr>
          <w:bCs/>
        </w:rPr>
        <w:t xml:space="preserve"> 14.00</w:t>
      </w:r>
    </w:p>
    <w:p w:rsidR="00443998" w:rsidRPr="00B757EA" w:rsidRDefault="00743DD4" w:rsidP="00CE3B70">
      <w:pPr>
        <w:ind w:left="284"/>
        <w:jc w:val="both"/>
      </w:pPr>
      <w:r w:rsidRPr="00B757EA">
        <w:t xml:space="preserve">8.Ogłoszenie o konkursie wraz z załącznikami </w:t>
      </w:r>
      <w:r w:rsidR="00443998" w:rsidRPr="00B757EA">
        <w:t xml:space="preserve">umieszczone są na stronie internetowej: </w:t>
      </w:r>
      <w:hyperlink r:id="rId8" w:history="1">
        <w:r w:rsidR="006C10DE" w:rsidRPr="00B757EA">
          <w:rPr>
            <w:rStyle w:val="Hipercze"/>
            <w:color w:val="auto"/>
          </w:rPr>
          <w:t>http://apsl.nowybip.pl/ogloszenia-</w:t>
        </w:r>
      </w:hyperlink>
      <w:r w:rsidR="006C10DE" w:rsidRPr="00B757EA">
        <w:t xml:space="preserve"> </w:t>
      </w:r>
    </w:p>
    <w:p w:rsidR="00443998" w:rsidRPr="00B757EA" w:rsidRDefault="00443998" w:rsidP="007D4C50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 xml:space="preserve">§5  </w:t>
      </w:r>
    </w:p>
    <w:p w:rsidR="00443998" w:rsidRPr="00B757EA" w:rsidRDefault="00443998" w:rsidP="007D4C50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>Procedura konkursowa</w:t>
      </w:r>
    </w:p>
    <w:p w:rsidR="00443998" w:rsidRPr="00B757EA" w:rsidRDefault="00443998" w:rsidP="00285A78">
      <w:pPr>
        <w:ind w:left="284"/>
        <w:jc w:val="both"/>
      </w:pPr>
      <w:r w:rsidRPr="00B757EA">
        <w:t>1. W ramach konkursu wyłoniony zostanie jeden Partner.</w:t>
      </w:r>
    </w:p>
    <w:p w:rsidR="00443998" w:rsidRPr="00B757EA" w:rsidRDefault="00443998" w:rsidP="00285A78">
      <w:pPr>
        <w:ind w:left="284"/>
        <w:jc w:val="both"/>
      </w:pPr>
      <w:r w:rsidRPr="00B757EA">
        <w:t xml:space="preserve">2. Postępowanie konkursowe przeprowadza Komisja Konkursowa.  </w:t>
      </w:r>
    </w:p>
    <w:p w:rsidR="00443998" w:rsidRPr="00B757EA" w:rsidRDefault="00443998" w:rsidP="00285A78">
      <w:pPr>
        <w:ind w:left="284"/>
        <w:jc w:val="both"/>
      </w:pPr>
      <w:r w:rsidRPr="00B757EA">
        <w:t>3. Komisja rozpoczyna działalność z dniem powołania. Jej pracami kieruje Przewodniczący Komisji.</w:t>
      </w:r>
    </w:p>
    <w:p w:rsidR="00443998" w:rsidRPr="00B757EA" w:rsidRDefault="00443998" w:rsidP="00285A78">
      <w:pPr>
        <w:ind w:left="284"/>
        <w:jc w:val="both"/>
      </w:pPr>
      <w:r w:rsidRPr="00B757EA">
        <w:t>4. Komisja podejmuje rozstrzygnięcia zwykłą większością głosów.</w:t>
      </w:r>
    </w:p>
    <w:p w:rsidR="00443998" w:rsidRPr="00B757EA" w:rsidRDefault="00443998" w:rsidP="00285A78">
      <w:pPr>
        <w:ind w:left="284"/>
        <w:jc w:val="both"/>
      </w:pPr>
      <w:r w:rsidRPr="00B757EA">
        <w:t xml:space="preserve">5. Każdy z członków Komisji Konkursowej weryfikuje oferty zgłoszone przez oferentów w drodze otwartego konkursu, pod względem formalnym i merytorycznym, według kryteriów określonych w </w:t>
      </w:r>
      <w:r w:rsidR="00743DD4" w:rsidRPr="00B757EA">
        <w:rPr>
          <w:bCs/>
        </w:rPr>
        <w:t>§</w:t>
      </w:r>
      <w:r w:rsidR="00743DD4" w:rsidRPr="00B757EA">
        <w:t xml:space="preserve"> 2 O</w:t>
      </w:r>
      <w:r w:rsidRPr="00B757EA">
        <w:t>głoszenia o konkursie</w:t>
      </w:r>
    </w:p>
    <w:p w:rsidR="00443998" w:rsidRPr="00B757EA" w:rsidRDefault="00443998" w:rsidP="00285A78">
      <w:pPr>
        <w:ind w:left="284"/>
        <w:jc w:val="both"/>
        <w:rPr>
          <w:u w:val="single"/>
        </w:rPr>
      </w:pPr>
      <w:r w:rsidRPr="00B757EA">
        <w:rPr>
          <w:u w:val="single"/>
        </w:rPr>
        <w:t>6. W pierwszym etapie konkursu Komisja Konkursowa:</w:t>
      </w:r>
    </w:p>
    <w:p w:rsidR="00443998" w:rsidRPr="00B757EA" w:rsidRDefault="00443998" w:rsidP="00285A78">
      <w:pPr>
        <w:ind w:left="284"/>
        <w:jc w:val="both"/>
      </w:pPr>
      <w:r w:rsidRPr="00B757EA">
        <w:t>6.1     stwierdza liczbę złożonych ofert,</w:t>
      </w:r>
    </w:p>
    <w:p w:rsidR="00443998" w:rsidRPr="00B757EA" w:rsidRDefault="00443998" w:rsidP="00285A78">
      <w:pPr>
        <w:ind w:left="284"/>
        <w:jc w:val="both"/>
      </w:pPr>
      <w:r w:rsidRPr="00B757EA">
        <w:t>6.2     otwiera koperty z ofertami,</w:t>
      </w:r>
    </w:p>
    <w:p w:rsidR="00443998" w:rsidRPr="00B757EA" w:rsidRDefault="00443998" w:rsidP="00285A78">
      <w:pPr>
        <w:ind w:left="284"/>
        <w:jc w:val="both"/>
      </w:pPr>
      <w:r w:rsidRPr="00B757EA">
        <w:t>6.3   ocenia oferty pod względem formalnym</w:t>
      </w:r>
      <w:r w:rsidR="00442636" w:rsidRPr="00B757EA">
        <w:t xml:space="preserve"> </w:t>
      </w:r>
      <w:r w:rsidRPr="00B757EA">
        <w:t xml:space="preserve">ocena polega na sprawdzeniu czy oferent podał wszystkie niezbędne informacje według </w:t>
      </w:r>
      <w:r w:rsidR="008E075F" w:rsidRPr="00B757EA">
        <w:t>kryteriów form</w:t>
      </w:r>
      <w:r w:rsidR="00743DD4" w:rsidRPr="00B757EA">
        <w:t>a</w:t>
      </w:r>
      <w:r w:rsidR="008E075F" w:rsidRPr="00B757EA">
        <w:t>l</w:t>
      </w:r>
      <w:r w:rsidR="00743DD4" w:rsidRPr="00B757EA">
        <w:t>nych</w:t>
      </w:r>
    </w:p>
    <w:p w:rsidR="00443998" w:rsidRPr="00B757EA" w:rsidRDefault="00443998" w:rsidP="00285A78">
      <w:pPr>
        <w:ind w:left="284"/>
        <w:jc w:val="both"/>
      </w:pPr>
      <w:r w:rsidRPr="00B757EA">
        <w:t xml:space="preserve">6.4     Komisja Konkursowa odrzuca złożoną ofertę z przyczyn formalnych, w przypadku braku </w:t>
      </w:r>
      <w:r w:rsidR="00743DD4" w:rsidRPr="00B757EA">
        <w:t>wymaganych informacji</w:t>
      </w:r>
    </w:p>
    <w:p w:rsidR="00443998" w:rsidRPr="00B757EA" w:rsidRDefault="00443998" w:rsidP="00285A78">
      <w:pPr>
        <w:ind w:left="284"/>
        <w:jc w:val="both"/>
      </w:pPr>
      <w:r w:rsidRPr="00B757EA">
        <w:t>6.5   Akademia Pomorska w Słupsku może ponowić ogłoszenie naboru na wyłonienie Partnera               w przypadku, gdy wszystkie zgłoszone of</w:t>
      </w:r>
      <w:r w:rsidR="00743DD4" w:rsidRPr="00B757EA">
        <w:t>erty Komisja Konkursowa odrzuci</w:t>
      </w:r>
      <w:r w:rsidRPr="00B757EA">
        <w:t xml:space="preserve"> z przyczyn formalnych.</w:t>
      </w:r>
    </w:p>
    <w:p w:rsidR="00443998" w:rsidRPr="00B757EA" w:rsidRDefault="00443998" w:rsidP="00285A78">
      <w:pPr>
        <w:ind w:left="284"/>
        <w:jc w:val="both"/>
        <w:rPr>
          <w:u w:val="single"/>
        </w:rPr>
      </w:pPr>
      <w:r w:rsidRPr="00B757EA">
        <w:rPr>
          <w:u w:val="single"/>
        </w:rPr>
        <w:t>7.   W drugim etapie konkursu, Komisja Konkursowa:</w:t>
      </w:r>
    </w:p>
    <w:p w:rsidR="00443998" w:rsidRPr="00B757EA" w:rsidRDefault="00443998" w:rsidP="00285A78">
      <w:pPr>
        <w:ind w:left="284"/>
        <w:jc w:val="both"/>
      </w:pPr>
      <w:r w:rsidRPr="00B757EA">
        <w:t>7.1     analizuje merytoryczną zawartość ofert,</w:t>
      </w:r>
    </w:p>
    <w:p w:rsidR="00443998" w:rsidRPr="00B757EA" w:rsidRDefault="00443998" w:rsidP="00285A78">
      <w:pPr>
        <w:ind w:left="284"/>
        <w:jc w:val="both"/>
      </w:pPr>
      <w:r w:rsidRPr="00B757EA">
        <w:t>7.2    przyznaje odpowiednią liczbę punktów wedłu</w:t>
      </w:r>
      <w:r w:rsidR="00743DD4" w:rsidRPr="00B757EA">
        <w:t>g kryteriów określonych w  §2  O</w:t>
      </w:r>
      <w:r w:rsidRPr="00B757EA">
        <w:t xml:space="preserve">głoszenia                   o konkursie, </w:t>
      </w:r>
    </w:p>
    <w:p w:rsidR="00443998" w:rsidRPr="00B757EA" w:rsidRDefault="00443998" w:rsidP="00285A78">
      <w:pPr>
        <w:ind w:left="284"/>
        <w:jc w:val="both"/>
      </w:pPr>
      <w:r w:rsidRPr="00B757EA">
        <w:t>7.3    wskazuje najwyżej ocenione oferty,</w:t>
      </w:r>
    </w:p>
    <w:p w:rsidR="00443998" w:rsidRPr="00B757EA" w:rsidRDefault="00443998" w:rsidP="00285A78">
      <w:pPr>
        <w:ind w:left="284"/>
        <w:jc w:val="both"/>
      </w:pPr>
      <w:r w:rsidRPr="00B757EA">
        <w:lastRenderedPageBreak/>
        <w:t>7.4  przeprowadza ewentualne negocjacje z dwoma najwyżej ocenionymi Oferentami, celem konkretyzacji zasad współpracy przy realizacji projektu,</w:t>
      </w:r>
    </w:p>
    <w:p w:rsidR="00443998" w:rsidRPr="00B757EA" w:rsidRDefault="00443998" w:rsidP="00285A78">
      <w:pPr>
        <w:ind w:left="284"/>
        <w:jc w:val="both"/>
      </w:pPr>
      <w:r w:rsidRPr="00B757EA">
        <w:t>7.5    po przeprowadzonych negocjacjach rozstrzyga konkurs i wyłania jednego Partnera,</w:t>
      </w:r>
    </w:p>
    <w:p w:rsidR="00443998" w:rsidRPr="00B757EA" w:rsidRDefault="00443998" w:rsidP="00285A78">
      <w:pPr>
        <w:ind w:left="284"/>
        <w:jc w:val="both"/>
      </w:pPr>
      <w:r w:rsidRPr="00B757EA">
        <w:t>7.6    w przypadku, jeżeli negocjacje z najwyżej ocenionymi Oferentami lub jednym z nich nie dojdą do skutku, Komisja Konkursowa dopuszcza możliwość podjęcia negocjacji z kolejnym lub kolejnymi najlepiej ocenianym/ocenianymi Oferentem/Oferentami,</w:t>
      </w:r>
    </w:p>
    <w:p w:rsidR="00443998" w:rsidRPr="00B757EA" w:rsidRDefault="00443998" w:rsidP="00285A78">
      <w:pPr>
        <w:ind w:left="284"/>
        <w:jc w:val="both"/>
      </w:pPr>
      <w:r w:rsidRPr="00B757EA">
        <w:t>7.7.    w przypadku zamknięcia procedury oceny ofert i nie wyłonienia Partnera, Akademia Pomorska w Słupsku może ponowić ogłoszenie konkursu w celu wyłonienia Partnera.</w:t>
      </w:r>
    </w:p>
    <w:p w:rsidR="00443998" w:rsidRPr="00B757EA" w:rsidRDefault="00443998" w:rsidP="00285A78">
      <w:pPr>
        <w:ind w:left="284"/>
        <w:jc w:val="both"/>
        <w:rPr>
          <w:u w:val="single"/>
        </w:rPr>
      </w:pPr>
      <w:r w:rsidRPr="00B757EA">
        <w:rPr>
          <w:u w:val="single"/>
        </w:rPr>
        <w:t>8.  Z przebiegu konkursu Komisja Konkursowa sporządza protokół, który powinien zawierać:</w:t>
      </w:r>
    </w:p>
    <w:p w:rsidR="00443998" w:rsidRPr="00B757EA" w:rsidRDefault="00443998" w:rsidP="00285A78">
      <w:pPr>
        <w:ind w:left="284"/>
        <w:jc w:val="both"/>
      </w:pPr>
      <w:r w:rsidRPr="00B757EA">
        <w:t>8.1.    Imiona i nazwiska Członków Komisji Konkursowej,</w:t>
      </w:r>
    </w:p>
    <w:p w:rsidR="00443998" w:rsidRPr="00B757EA" w:rsidRDefault="00443998" w:rsidP="00285A78">
      <w:pPr>
        <w:ind w:left="284"/>
        <w:jc w:val="both"/>
      </w:pPr>
      <w:r w:rsidRPr="00B757EA">
        <w:t>8.2.    liczbę zgłoszonych ofert,</w:t>
      </w:r>
    </w:p>
    <w:p w:rsidR="00443998" w:rsidRPr="00B757EA" w:rsidRDefault="00443998" w:rsidP="00285A78">
      <w:pPr>
        <w:ind w:left="284"/>
        <w:jc w:val="both"/>
      </w:pPr>
      <w:r w:rsidRPr="00B757EA">
        <w:t>8.3.    wskazanie ofert najkorzystniejszych,</w:t>
      </w:r>
    </w:p>
    <w:p w:rsidR="00443998" w:rsidRPr="00B757EA" w:rsidRDefault="00443998" w:rsidP="00285A78">
      <w:pPr>
        <w:ind w:left="284"/>
        <w:jc w:val="both"/>
      </w:pPr>
      <w:r w:rsidRPr="00B757EA">
        <w:t>8.4.    ewentualne uwagi Członków Komisji Konkursowej,</w:t>
      </w:r>
    </w:p>
    <w:p w:rsidR="00443998" w:rsidRPr="00B757EA" w:rsidRDefault="00443998" w:rsidP="00285A78">
      <w:pPr>
        <w:ind w:left="284"/>
        <w:jc w:val="both"/>
      </w:pPr>
      <w:r w:rsidRPr="00B757EA">
        <w:t>8.5.    podpisy Członków Komisji Konkursowej.</w:t>
      </w:r>
    </w:p>
    <w:p w:rsidR="00443998" w:rsidRPr="00B757EA" w:rsidRDefault="00443998" w:rsidP="007D4C50">
      <w:pPr>
        <w:ind w:left="284"/>
        <w:jc w:val="both"/>
      </w:pPr>
      <w:r w:rsidRPr="00B757EA">
        <w:t>9. Komisja Konkursowa ulega rozwiązaniu po rozstrzygnięciu konkursu i wyłonieniu Partnera do wspólnej realizacji projektu.</w:t>
      </w:r>
    </w:p>
    <w:p w:rsidR="00443998" w:rsidRPr="00B757EA" w:rsidRDefault="00443998" w:rsidP="007D4C50">
      <w:pPr>
        <w:ind w:left="284"/>
        <w:jc w:val="both"/>
      </w:pPr>
      <w:r w:rsidRPr="00B757EA">
        <w:t xml:space="preserve">10. Podmioty biorące udział w konkursie zostaną drogą elektroniczną poinformowane o wyniku postępowania konkursowego. Informacja o podmiocie, który zostanie wyłoniony w wyniku rozstrzygnięcia konkursu, będzie opublikowana na stronie internetowej </w:t>
      </w:r>
      <w:hyperlink r:id="rId9" w:history="1">
        <w:r w:rsidR="006C10DE" w:rsidRPr="00B757EA">
          <w:rPr>
            <w:rStyle w:val="Hipercze"/>
            <w:color w:val="auto"/>
          </w:rPr>
          <w:t>http://apsl.nowybip.pl/ogloszenia</w:t>
        </w:r>
      </w:hyperlink>
      <w:r w:rsidR="006C10DE" w:rsidRPr="00B757EA">
        <w:t xml:space="preserve"> </w:t>
      </w:r>
      <w:r w:rsidRPr="00B757EA">
        <w:t xml:space="preserve"> w dniu </w:t>
      </w:r>
      <w:r w:rsidR="00D21755" w:rsidRPr="00B757EA">
        <w:rPr>
          <w:b/>
        </w:rPr>
        <w:t>11</w:t>
      </w:r>
      <w:r w:rsidRPr="00B757EA">
        <w:rPr>
          <w:b/>
        </w:rPr>
        <w:t>.</w:t>
      </w:r>
      <w:r w:rsidR="00883C8E" w:rsidRPr="00B757EA">
        <w:rPr>
          <w:b/>
        </w:rPr>
        <w:t>12.2017</w:t>
      </w:r>
      <w:r w:rsidR="004473C1" w:rsidRPr="00B757EA">
        <w:rPr>
          <w:b/>
        </w:rPr>
        <w:t>r</w:t>
      </w:r>
      <w:r w:rsidRPr="00B757EA">
        <w:rPr>
          <w:b/>
        </w:rPr>
        <w:t>.</w:t>
      </w:r>
    </w:p>
    <w:p w:rsidR="00443998" w:rsidRPr="00B757EA" w:rsidRDefault="00443998" w:rsidP="007D4C50">
      <w:pPr>
        <w:ind w:left="284"/>
        <w:jc w:val="both"/>
      </w:pPr>
      <w:r w:rsidRPr="00B757EA">
        <w:t>11. Z Partnerem, wyłonionymi w toku postępowania konkursowego, zostanie zawarta umowa partnerska, w celu realizacji wspólnego przedsięwzięcia.</w:t>
      </w:r>
    </w:p>
    <w:p w:rsidR="00443998" w:rsidRPr="00B757EA" w:rsidRDefault="00443998" w:rsidP="007D4C50">
      <w:pPr>
        <w:ind w:left="284"/>
        <w:jc w:val="both"/>
      </w:pPr>
      <w:r w:rsidRPr="00B757EA">
        <w:t>12. Ogłaszający zastrzega sobie prawo do unieważnienia naboru bez podania przyczyny.</w:t>
      </w:r>
    </w:p>
    <w:p w:rsidR="00443998" w:rsidRPr="00B757EA" w:rsidRDefault="00443998" w:rsidP="00CE21F3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 xml:space="preserve">§6 </w:t>
      </w:r>
    </w:p>
    <w:p w:rsidR="00443998" w:rsidRPr="00B757EA" w:rsidRDefault="00443998" w:rsidP="00CE21F3">
      <w:pPr>
        <w:spacing w:after="0" w:line="360" w:lineRule="auto"/>
        <w:jc w:val="center"/>
        <w:rPr>
          <w:b/>
          <w:bCs/>
        </w:rPr>
      </w:pPr>
      <w:r w:rsidRPr="00B757EA">
        <w:rPr>
          <w:b/>
          <w:bCs/>
        </w:rPr>
        <w:t>Procedura odwoławcza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Podmiot, który, w ramach konkursu, nie został wybrany do pełnienia funkcji Partnera                           w projekcie, może wnieść odwołanie od decyzji dotyczącej wyboru Partnerów.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Odwołanie powinno zostać wniesione w formie pisemnej, w terminie 2 dni roboczych od dnia zamieszczenia informacji na stronie BIP Akademii Pomorskiej w Słupsku</w:t>
      </w:r>
    </w:p>
    <w:p w:rsidR="00443998" w:rsidRPr="00B757EA" w:rsidRDefault="00443998" w:rsidP="00CE21F3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 xml:space="preserve">Odwołanie należy dostarczyć elektroniczne, w postaci zeskanowanej na adres: </w:t>
      </w:r>
      <w:hyperlink r:id="rId10" w:history="1">
        <w:r w:rsidRPr="00B757EA">
          <w:rPr>
            <w:rStyle w:val="Hipercze"/>
            <w:color w:val="auto"/>
          </w:rPr>
          <w:t>biurofunduszy@apsl.edu.pl</w:t>
        </w:r>
      </w:hyperlink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Odwołanie złożone po upływie terminu nie będzie rozpatrywane.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 xml:space="preserve">Do weryfikacji </w:t>
      </w:r>
      <w:proofErr w:type="spellStart"/>
      <w:r w:rsidRPr="00B757EA">
        <w:t>odwołań</w:t>
      </w:r>
      <w:proofErr w:type="spellEnd"/>
      <w:r w:rsidRPr="00B757EA">
        <w:t xml:space="preserve"> zostanie powołana Komisja Odwoławcza, w skład której wejdą niezależni członkowie, niewchodzący w skład Komisji Konkursowej.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Komisja Odwoławcza rozpoczyna działalność z dniem powołania.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lastRenderedPageBreak/>
        <w:t>Komisja podejmuje rozstrzygnięcia zwykłą większością głosów.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Pracą Komisji Odwoławczej kieruje Przewodniczący.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Podmiot składający odwołanie zostanie poinformowany o wynikach postępowania odwoławczego w przeciągu 2 dni roboczych od złożenia odwołania.</w:t>
      </w:r>
    </w:p>
    <w:p w:rsidR="00443998" w:rsidRPr="00B757EA" w:rsidRDefault="00443998" w:rsidP="007D4C50">
      <w:pPr>
        <w:pStyle w:val="Akapitzlist"/>
        <w:numPr>
          <w:ilvl w:val="0"/>
          <w:numId w:val="4"/>
        </w:numPr>
        <w:spacing w:after="120" w:line="240" w:lineRule="auto"/>
        <w:ind w:left="567" w:hanging="283"/>
        <w:jc w:val="both"/>
      </w:pPr>
      <w:r w:rsidRPr="00B757EA">
        <w:t>Decyzja Komisji Odwoławczej jest decyzją ostateczną, od której nie służy żaden środek odwoławczy.</w:t>
      </w:r>
      <w:bookmarkEnd w:id="0"/>
    </w:p>
    <w:sectPr w:rsidR="00443998" w:rsidRPr="00B757EA" w:rsidSect="007D4D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A" w:rsidRDefault="00FE1B2A" w:rsidP="002912C3">
      <w:pPr>
        <w:spacing w:after="0" w:line="240" w:lineRule="auto"/>
      </w:pPr>
      <w:r>
        <w:separator/>
      </w:r>
    </w:p>
  </w:endnote>
  <w:endnote w:type="continuationSeparator" w:id="0">
    <w:p w:rsidR="00FE1B2A" w:rsidRDefault="00FE1B2A" w:rsidP="0029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8" w:rsidRDefault="008D36C5">
    <w:pPr>
      <w:pStyle w:val="Stopka"/>
      <w:jc w:val="right"/>
    </w:pPr>
    <w:r>
      <w:fldChar w:fldCharType="begin"/>
    </w:r>
    <w:r w:rsidR="001A5843">
      <w:instrText>PAGE   \* MERGEFORMAT</w:instrText>
    </w:r>
    <w:r>
      <w:fldChar w:fldCharType="separate"/>
    </w:r>
    <w:r w:rsidR="00B757EA">
      <w:rPr>
        <w:noProof/>
      </w:rPr>
      <w:t>7</w:t>
    </w:r>
    <w:r>
      <w:rPr>
        <w:noProof/>
      </w:rPr>
      <w:fldChar w:fldCharType="end"/>
    </w:r>
  </w:p>
  <w:p w:rsidR="00443998" w:rsidRDefault="00443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A" w:rsidRDefault="00FE1B2A" w:rsidP="002912C3">
      <w:pPr>
        <w:spacing w:after="0" w:line="240" w:lineRule="auto"/>
      </w:pPr>
      <w:r>
        <w:separator/>
      </w:r>
    </w:p>
  </w:footnote>
  <w:footnote w:type="continuationSeparator" w:id="0">
    <w:p w:rsidR="00FE1B2A" w:rsidRDefault="00FE1B2A" w:rsidP="0029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D2D9E"/>
    <w:multiLevelType w:val="hybridMultilevel"/>
    <w:tmpl w:val="5C9C27C8"/>
    <w:lvl w:ilvl="0" w:tplc="C0F2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2E85"/>
    <w:multiLevelType w:val="hybridMultilevel"/>
    <w:tmpl w:val="275A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41C1"/>
    <w:multiLevelType w:val="hybridMultilevel"/>
    <w:tmpl w:val="F81295D8"/>
    <w:lvl w:ilvl="0" w:tplc="0518B4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43B9"/>
    <w:multiLevelType w:val="hybridMultilevel"/>
    <w:tmpl w:val="88801D62"/>
    <w:lvl w:ilvl="0" w:tplc="19E021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650D72"/>
    <w:multiLevelType w:val="hybridMultilevel"/>
    <w:tmpl w:val="43D83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900E0"/>
    <w:multiLevelType w:val="hybridMultilevel"/>
    <w:tmpl w:val="9BF46B2E"/>
    <w:lvl w:ilvl="0" w:tplc="C450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1AB0"/>
    <w:multiLevelType w:val="hybridMultilevel"/>
    <w:tmpl w:val="13E248AA"/>
    <w:lvl w:ilvl="0" w:tplc="003C7D9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14A63"/>
    <w:multiLevelType w:val="hybridMultilevel"/>
    <w:tmpl w:val="E14814A6"/>
    <w:lvl w:ilvl="0" w:tplc="4DC852F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14268"/>
    <w:multiLevelType w:val="hybridMultilevel"/>
    <w:tmpl w:val="9B881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B1D83"/>
    <w:multiLevelType w:val="hybridMultilevel"/>
    <w:tmpl w:val="D4542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3FF2"/>
    <w:multiLevelType w:val="hybridMultilevel"/>
    <w:tmpl w:val="DE343388"/>
    <w:lvl w:ilvl="0" w:tplc="E39C54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26F60"/>
    <w:multiLevelType w:val="hybridMultilevel"/>
    <w:tmpl w:val="967CBC64"/>
    <w:lvl w:ilvl="0" w:tplc="5BFA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2033DC"/>
    <w:multiLevelType w:val="hybridMultilevel"/>
    <w:tmpl w:val="3B92E016"/>
    <w:lvl w:ilvl="0" w:tplc="6A0A74C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/>
        <w:color w:val="FF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610FD5"/>
    <w:multiLevelType w:val="hybridMultilevel"/>
    <w:tmpl w:val="324A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25C"/>
    <w:rsid w:val="00006522"/>
    <w:rsid w:val="0001268F"/>
    <w:rsid w:val="000126CA"/>
    <w:rsid w:val="00020D38"/>
    <w:rsid w:val="0002342D"/>
    <w:rsid w:val="0003544E"/>
    <w:rsid w:val="0006588C"/>
    <w:rsid w:val="000958D8"/>
    <w:rsid w:val="000A01C3"/>
    <w:rsid w:val="00106A27"/>
    <w:rsid w:val="00116DA3"/>
    <w:rsid w:val="00143300"/>
    <w:rsid w:val="00157410"/>
    <w:rsid w:val="00197F57"/>
    <w:rsid w:val="001A5843"/>
    <w:rsid w:val="001B053F"/>
    <w:rsid w:val="001B5BC9"/>
    <w:rsid w:val="001C404C"/>
    <w:rsid w:val="001D05F6"/>
    <w:rsid w:val="001D62F4"/>
    <w:rsid w:val="00224F65"/>
    <w:rsid w:val="00265FF9"/>
    <w:rsid w:val="00285A78"/>
    <w:rsid w:val="002912C3"/>
    <w:rsid w:val="002C55E1"/>
    <w:rsid w:val="002F70C3"/>
    <w:rsid w:val="00321AEE"/>
    <w:rsid w:val="00323077"/>
    <w:rsid w:val="0032614D"/>
    <w:rsid w:val="00334617"/>
    <w:rsid w:val="00336DA6"/>
    <w:rsid w:val="003645AB"/>
    <w:rsid w:val="00366CB5"/>
    <w:rsid w:val="00374090"/>
    <w:rsid w:val="00392702"/>
    <w:rsid w:val="003C5290"/>
    <w:rsid w:val="003E1E87"/>
    <w:rsid w:val="003F36D0"/>
    <w:rsid w:val="003F50BB"/>
    <w:rsid w:val="00423AD9"/>
    <w:rsid w:val="00426529"/>
    <w:rsid w:val="00431DA8"/>
    <w:rsid w:val="00437565"/>
    <w:rsid w:val="00441CA9"/>
    <w:rsid w:val="00442636"/>
    <w:rsid w:val="00443998"/>
    <w:rsid w:val="004451F7"/>
    <w:rsid w:val="004473C1"/>
    <w:rsid w:val="00457262"/>
    <w:rsid w:val="00466FF6"/>
    <w:rsid w:val="0047001F"/>
    <w:rsid w:val="0048035D"/>
    <w:rsid w:val="004844B8"/>
    <w:rsid w:val="00486D7D"/>
    <w:rsid w:val="004B051D"/>
    <w:rsid w:val="004C64CF"/>
    <w:rsid w:val="004D32EB"/>
    <w:rsid w:val="004E6D90"/>
    <w:rsid w:val="004F2885"/>
    <w:rsid w:val="004F67A7"/>
    <w:rsid w:val="00510496"/>
    <w:rsid w:val="005110AB"/>
    <w:rsid w:val="00522D66"/>
    <w:rsid w:val="00524566"/>
    <w:rsid w:val="0054787C"/>
    <w:rsid w:val="005702A3"/>
    <w:rsid w:val="00570E00"/>
    <w:rsid w:val="00594D1F"/>
    <w:rsid w:val="005A4FDD"/>
    <w:rsid w:val="005B6751"/>
    <w:rsid w:val="005E71E2"/>
    <w:rsid w:val="00610045"/>
    <w:rsid w:val="006135E9"/>
    <w:rsid w:val="00622605"/>
    <w:rsid w:val="0062751A"/>
    <w:rsid w:val="006324CD"/>
    <w:rsid w:val="00662B73"/>
    <w:rsid w:val="00666BBC"/>
    <w:rsid w:val="006C10DE"/>
    <w:rsid w:val="006D07F4"/>
    <w:rsid w:val="00717489"/>
    <w:rsid w:val="00717B1A"/>
    <w:rsid w:val="00722DFA"/>
    <w:rsid w:val="00741201"/>
    <w:rsid w:val="00743DD4"/>
    <w:rsid w:val="00747EB5"/>
    <w:rsid w:val="007768C3"/>
    <w:rsid w:val="00782A26"/>
    <w:rsid w:val="00783735"/>
    <w:rsid w:val="00790F4E"/>
    <w:rsid w:val="0079355E"/>
    <w:rsid w:val="007A333C"/>
    <w:rsid w:val="007B5C3C"/>
    <w:rsid w:val="007D4C50"/>
    <w:rsid w:val="007D4D72"/>
    <w:rsid w:val="007E46A9"/>
    <w:rsid w:val="007E6612"/>
    <w:rsid w:val="007F4F87"/>
    <w:rsid w:val="00814B2C"/>
    <w:rsid w:val="00815A9B"/>
    <w:rsid w:val="00822E6D"/>
    <w:rsid w:val="0083264C"/>
    <w:rsid w:val="00836D93"/>
    <w:rsid w:val="008813DB"/>
    <w:rsid w:val="00882624"/>
    <w:rsid w:val="00883C8E"/>
    <w:rsid w:val="0089425C"/>
    <w:rsid w:val="008A661E"/>
    <w:rsid w:val="008D36C5"/>
    <w:rsid w:val="008E075F"/>
    <w:rsid w:val="008F2B84"/>
    <w:rsid w:val="009505A3"/>
    <w:rsid w:val="00951416"/>
    <w:rsid w:val="009844C3"/>
    <w:rsid w:val="0098510B"/>
    <w:rsid w:val="0099258A"/>
    <w:rsid w:val="009B220F"/>
    <w:rsid w:val="009B5DD1"/>
    <w:rsid w:val="009D32C3"/>
    <w:rsid w:val="009D5005"/>
    <w:rsid w:val="009D548F"/>
    <w:rsid w:val="00A003A8"/>
    <w:rsid w:val="00A320BE"/>
    <w:rsid w:val="00A4584A"/>
    <w:rsid w:val="00A5430D"/>
    <w:rsid w:val="00A663E7"/>
    <w:rsid w:val="00A921BB"/>
    <w:rsid w:val="00AB64CF"/>
    <w:rsid w:val="00AE6D17"/>
    <w:rsid w:val="00AF1481"/>
    <w:rsid w:val="00B138E4"/>
    <w:rsid w:val="00B323D2"/>
    <w:rsid w:val="00B33AE9"/>
    <w:rsid w:val="00B5541F"/>
    <w:rsid w:val="00B757EA"/>
    <w:rsid w:val="00BA7232"/>
    <w:rsid w:val="00BB4A97"/>
    <w:rsid w:val="00BD3958"/>
    <w:rsid w:val="00C06E77"/>
    <w:rsid w:val="00C07C2F"/>
    <w:rsid w:val="00C229B8"/>
    <w:rsid w:val="00C234AB"/>
    <w:rsid w:val="00C351A1"/>
    <w:rsid w:val="00C35482"/>
    <w:rsid w:val="00C416E7"/>
    <w:rsid w:val="00C52273"/>
    <w:rsid w:val="00C5296F"/>
    <w:rsid w:val="00C6626D"/>
    <w:rsid w:val="00C839CD"/>
    <w:rsid w:val="00CA6F10"/>
    <w:rsid w:val="00CE21F3"/>
    <w:rsid w:val="00CE3B70"/>
    <w:rsid w:val="00CF4ED9"/>
    <w:rsid w:val="00D04D49"/>
    <w:rsid w:val="00D14420"/>
    <w:rsid w:val="00D21755"/>
    <w:rsid w:val="00D21813"/>
    <w:rsid w:val="00D30824"/>
    <w:rsid w:val="00D36006"/>
    <w:rsid w:val="00D61E25"/>
    <w:rsid w:val="00D65193"/>
    <w:rsid w:val="00D65AA2"/>
    <w:rsid w:val="00DA24FE"/>
    <w:rsid w:val="00DE0EAC"/>
    <w:rsid w:val="00E12FB9"/>
    <w:rsid w:val="00E201B6"/>
    <w:rsid w:val="00E325BB"/>
    <w:rsid w:val="00E47990"/>
    <w:rsid w:val="00E51DD8"/>
    <w:rsid w:val="00E51E0E"/>
    <w:rsid w:val="00E55754"/>
    <w:rsid w:val="00E73106"/>
    <w:rsid w:val="00E9546D"/>
    <w:rsid w:val="00E96C96"/>
    <w:rsid w:val="00EA5BDA"/>
    <w:rsid w:val="00ED7F0B"/>
    <w:rsid w:val="00F24CB1"/>
    <w:rsid w:val="00F2605F"/>
    <w:rsid w:val="00F31A35"/>
    <w:rsid w:val="00F6753F"/>
    <w:rsid w:val="00FD0C34"/>
    <w:rsid w:val="00FD1330"/>
    <w:rsid w:val="00FE1B2A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7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24CD"/>
    <w:pPr>
      <w:ind w:left="720"/>
    </w:pPr>
  </w:style>
  <w:style w:type="paragraph" w:styleId="Nagwek">
    <w:name w:val="header"/>
    <w:basedOn w:val="Normalny"/>
    <w:link w:val="NagwekZnak"/>
    <w:uiPriority w:val="99"/>
    <w:rsid w:val="0029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2C3"/>
  </w:style>
  <w:style w:type="paragraph" w:styleId="Stopka">
    <w:name w:val="footer"/>
    <w:basedOn w:val="Normalny"/>
    <w:link w:val="StopkaZnak"/>
    <w:uiPriority w:val="99"/>
    <w:rsid w:val="0029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12C3"/>
  </w:style>
  <w:style w:type="character" w:styleId="Hipercze">
    <w:name w:val="Hyperlink"/>
    <w:uiPriority w:val="99"/>
    <w:rsid w:val="00A003A8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2C5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5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C5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5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C55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55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6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A6F10"/>
    <w:rPr>
      <w:sz w:val="20"/>
      <w:szCs w:val="20"/>
    </w:rPr>
  </w:style>
  <w:style w:type="character" w:styleId="Odwoanieprzypisudolnego">
    <w:name w:val="footnote reference"/>
    <w:uiPriority w:val="99"/>
    <w:semiHidden/>
    <w:rsid w:val="00CA6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l.nowybip.pl/ogloszeni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funduszy@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sl.nowybip.pl/oglos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2348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KONKURSIE:</vt:lpstr>
    </vt:vector>
  </TitlesOfParts>
  <Company>ATC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KONKURSIE:</dc:title>
  <dc:creator>Biuro Ds. Fund Zewn</dc:creator>
  <cp:lastModifiedBy>Biuro Ds. Fund Zewn</cp:lastModifiedBy>
  <cp:revision>7</cp:revision>
  <cp:lastPrinted>2016-08-19T07:04:00Z</cp:lastPrinted>
  <dcterms:created xsi:type="dcterms:W3CDTF">2017-11-14T10:11:00Z</dcterms:created>
  <dcterms:modified xsi:type="dcterms:W3CDTF">2017-11-17T09:45:00Z</dcterms:modified>
</cp:coreProperties>
</file>